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FF" w:rsidRDefault="005944FF">
      <w:pPr>
        <w:pStyle w:val="Szvegtrzs"/>
        <w:spacing w:after="0"/>
        <w:rPr>
          <w:rFonts w:ascii="Times New Roman"/>
        </w:rPr>
      </w:pPr>
      <w:bookmarkStart w:id="0" w:name="_GoBack"/>
      <w:bookmarkEnd w:id="0"/>
    </w:p>
    <w:p w:rsidR="005944FF" w:rsidRDefault="005944FF">
      <w:pPr>
        <w:pStyle w:val="Szvegtrzs"/>
        <w:spacing w:after="0"/>
        <w:jc w:val="center"/>
        <w:rPr>
          <w:rFonts w:ascii="Times New Roman"/>
        </w:rPr>
      </w:pPr>
    </w:p>
    <w:p w:rsidR="005944FF" w:rsidRDefault="005944FF">
      <w:pPr>
        <w:pStyle w:val="Szvegtrzs"/>
        <w:spacing w:after="0"/>
        <w:jc w:val="center"/>
        <w:rPr>
          <w:rFonts w:ascii="Times New Roman"/>
        </w:rPr>
      </w:pPr>
    </w:p>
    <w:p w:rsidR="005944FF" w:rsidRDefault="005944FF">
      <w:pPr>
        <w:pStyle w:val="Szvegtrzs"/>
        <w:spacing w:after="0"/>
        <w:jc w:val="center"/>
        <w:rPr>
          <w:rFonts w:ascii="Times New Roman"/>
        </w:rPr>
      </w:pPr>
    </w:p>
    <w:p w:rsidR="005944FF" w:rsidRDefault="00BA7CE5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  <w:lang w:val="it-IT"/>
        </w:rPr>
        <w:t>Metodologie specific</w:t>
      </w:r>
      <w:r>
        <w:rPr>
          <w:rFonts w:hAnsi="Times New Roman"/>
          <w:b/>
          <w:bCs/>
          <w:sz w:val="28"/>
          <w:szCs w:val="28"/>
        </w:rPr>
        <w:t>ă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de organizare </w:t>
      </w:r>
      <w:r>
        <w:rPr>
          <w:rFonts w:hAnsi="Times New Roman"/>
          <w:b/>
          <w:bCs/>
          <w:sz w:val="28"/>
          <w:szCs w:val="28"/>
        </w:rPr>
        <w:t>ș</w:t>
      </w:r>
      <w:r>
        <w:rPr>
          <w:rFonts w:ascii="Times New Roman"/>
          <w:b/>
          <w:bCs/>
          <w:sz w:val="28"/>
          <w:szCs w:val="28"/>
        </w:rPr>
        <w:t>i desf</w:t>
      </w:r>
      <w:r>
        <w:rPr>
          <w:rFonts w:hAnsi="Times New Roman"/>
          <w:b/>
          <w:bCs/>
          <w:sz w:val="28"/>
          <w:szCs w:val="28"/>
        </w:rPr>
        <w:t>ăș</w:t>
      </w:r>
      <w:r>
        <w:rPr>
          <w:rFonts w:ascii="Times New Roman"/>
          <w:b/>
          <w:bCs/>
          <w:sz w:val="28"/>
          <w:szCs w:val="28"/>
          <w:lang w:val="it-IT"/>
        </w:rPr>
        <w:t xml:space="preserve">urare a </w:t>
      </w:r>
    </w:p>
    <w:p w:rsidR="005944FF" w:rsidRDefault="00BA7CE5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examenului de finalizare a studiilor pentru anul universitar 2023-2024</w:t>
      </w:r>
    </w:p>
    <w:p w:rsidR="005944FF" w:rsidRDefault="00BA7CE5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Programul de licen</w:t>
      </w:r>
      <w:r>
        <w:rPr>
          <w:rFonts w:hAnsi="Times New Roman"/>
          <w:b/>
          <w:bCs/>
          <w:sz w:val="28"/>
          <w:szCs w:val="28"/>
        </w:rPr>
        <w:t>ță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Arte Plastice (Grafic</w:t>
      </w:r>
      <w:r>
        <w:rPr>
          <w:rFonts w:hAnsi="Times New Roman"/>
          <w:b/>
          <w:bCs/>
          <w:sz w:val="28"/>
          <w:szCs w:val="28"/>
        </w:rPr>
        <w:t>ă</w:t>
      </w:r>
      <w:r>
        <w:rPr>
          <w:rFonts w:ascii="Times New Roman"/>
          <w:b/>
          <w:bCs/>
          <w:sz w:val="28"/>
          <w:szCs w:val="28"/>
        </w:rPr>
        <w:t>)</w:t>
      </w:r>
    </w:p>
    <w:p w:rsidR="005944FF" w:rsidRDefault="005944FF">
      <w:pPr>
        <w:pStyle w:val="Szvegtrzs"/>
        <w:spacing w:after="0"/>
        <w:jc w:val="both"/>
        <w:rPr>
          <w:rFonts w:ascii="Times New Roman" w:eastAsia="Times New Roman" w:hAnsi="Times New Roman" w:cs="Times New Roman"/>
        </w:rPr>
      </w:pP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Prezenta metodologie completeaz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Regulamentul de organizare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urare a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a Universit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 Cre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tine Partium cu elemente specifice programului de studii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ARTE PLASTICE (GRAFIC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) din </w:t>
      </w:r>
      <w:r>
        <w:rPr>
          <w:rFonts w:ascii="Times New Roman"/>
          <w:b/>
          <w:bCs/>
          <w:sz w:val="24"/>
          <w:szCs w:val="24"/>
        </w:rPr>
        <w:t xml:space="preserve">Departamentului de Arte, Facultatea de Litere </w:t>
      </w:r>
      <w:r>
        <w:rPr>
          <w:rFonts w:hAnsi="Times New Roman"/>
          <w:b/>
          <w:bCs/>
          <w:sz w:val="24"/>
          <w:szCs w:val="24"/>
        </w:rPr>
        <w:t>ș</w:t>
      </w:r>
      <w:r>
        <w:rPr>
          <w:rFonts w:ascii="Times New Roman"/>
          <w:b/>
          <w:bCs/>
          <w:sz w:val="24"/>
          <w:szCs w:val="24"/>
          <w:lang w:val="pt-PT"/>
        </w:rPr>
        <w:t>i Arte.</w:t>
      </w:r>
      <w:r>
        <w:rPr>
          <w:rFonts w:ascii="Times New Roman"/>
          <w:sz w:val="24"/>
          <w:szCs w:val="24"/>
        </w:rPr>
        <w:t xml:space="preserve"> </w:t>
      </w:r>
    </w:p>
    <w:p w:rsidR="005944FF" w:rsidRDefault="005944FF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cadrul Departamentului de Arte se organizeaz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>examen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pentru absolven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 promo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iei curente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ai promo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iilor anterioare ale urm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toarelor programe de studii de licen</w:t>
      </w:r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  <w:lang w:val="pt-PT"/>
        </w:rPr>
        <w:t xml:space="preserve">, forma de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nv</w:t>
      </w:r>
      <w:r>
        <w:rPr>
          <w:rFonts w:hAnsi="Times New Roman"/>
          <w:sz w:val="24"/>
          <w:szCs w:val="24"/>
        </w:rPr>
        <w:t>ăță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nt cu frecven</w:t>
      </w:r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 xml:space="preserve">: </w:t>
      </w: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Arte plastice (Grafic</w:t>
      </w:r>
      <w:r>
        <w:rPr>
          <w:rFonts w:hAnsi="Times New Roman"/>
          <w:i/>
          <w:iCs/>
          <w:sz w:val="24"/>
          <w:szCs w:val="24"/>
        </w:rPr>
        <w:t>ă</w:t>
      </w:r>
      <w:r>
        <w:rPr>
          <w:rFonts w:ascii="Times New Roman"/>
          <w:i/>
          <w:iCs/>
          <w:sz w:val="24"/>
          <w:szCs w:val="24"/>
        </w:rPr>
        <w:t>)</w:t>
      </w:r>
    </w:p>
    <w:p w:rsidR="005944FF" w:rsidRDefault="00BA7CE5">
      <w:pPr>
        <w:pStyle w:val="Szvegtrzs"/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2</w:t>
      </w:r>
      <w:r>
        <w:rPr>
          <w:rFonts w:ascii="Times New Roman"/>
          <w:b/>
          <w:bCs/>
          <w:sz w:val="24"/>
          <w:szCs w:val="24"/>
        </w:rPr>
        <w:tab/>
      </w: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(1) Examenul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const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din 2 probe, dup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cum urmeaz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:</w:t>
      </w:r>
    </w:p>
    <w:p w:rsidR="005944FF" w:rsidRDefault="00BA7CE5">
      <w:pPr>
        <w:pStyle w:val="Szvegtrzs"/>
        <w:spacing w:before="108" w:after="0" w:line="349" w:lineRule="exact"/>
        <w:ind w:left="504" w:firstLine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Proba 1. Evaluarea cuno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 xml:space="preserve">elor fundamentale 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 de specialitate; 1.1. Evaluarea cuno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elor teoretice. 1.2. Proba practic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Szvegtrzs"/>
        <w:spacing w:before="108" w:after="0" w:line="349" w:lineRule="exact"/>
        <w:ind w:left="504" w:right="2160" w:firstLine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Proba 2. Prezentarea 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 sus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inerea 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de licen</w:t>
      </w:r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>.</w:t>
      </w:r>
    </w:p>
    <w:p w:rsidR="005944FF" w:rsidRDefault="005944FF">
      <w:pPr>
        <w:pStyle w:val="Default"/>
        <w:rPr>
          <w:lang w:val="fr-FR"/>
        </w:rPr>
      </w:pPr>
    </w:p>
    <w:p w:rsidR="005944FF" w:rsidRDefault="00BA7CE5">
      <w:pPr>
        <w:pStyle w:val="Default"/>
      </w:pPr>
      <w:r>
        <w:rPr>
          <w:rFonts w:eastAsia="Arial Unicode MS" w:hAnsi="Arial Unicode MS" w:cs="Arial Unicode MS"/>
          <w:lang w:val="fr-FR"/>
        </w:rPr>
        <w:t xml:space="preserve"> </w:t>
      </w:r>
      <w:r>
        <w:rPr>
          <w:rFonts w:eastAsia="Arial Unicode MS" w:hAnsi="Arial Unicode MS" w:cs="Arial Unicode MS"/>
        </w:rPr>
        <w:t>(2) Proba 1 a examenului de licen</w:t>
      </w:r>
      <w:r>
        <w:rPr>
          <w:rFonts w:ascii="Arial Unicode MS" w:eastAsia="Arial Unicode MS" w:cs="Arial Unicode MS"/>
        </w:rPr>
        <w:t>ță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se va desf</w:t>
      </w:r>
      <w:r>
        <w:rPr>
          <w:rFonts w:ascii="Arial Unicode MS" w:eastAsia="Arial Unicode MS" w:cs="Arial Unicode MS"/>
        </w:rPr>
        <w:t>ăș</w:t>
      </w:r>
      <w:r>
        <w:rPr>
          <w:rFonts w:eastAsia="Arial Unicode MS" w:hAnsi="Arial Unicode MS" w:cs="Arial Unicode MS"/>
        </w:rPr>
        <w:t xml:space="preserve">ura sub forma de examen scris </w:t>
      </w:r>
      <w:r>
        <w:rPr>
          <w:rFonts w:ascii="Arial Unicode MS" w:eastAsia="Arial Unicode MS" w:cs="Arial Unicode MS"/>
        </w:rPr>
        <w:t>ș</w:t>
      </w:r>
      <w:r>
        <w:rPr>
          <w:rFonts w:eastAsia="Arial Unicode MS" w:hAnsi="Arial Unicode MS" w:cs="Arial Unicode MS"/>
        </w:rPr>
        <w:t>i sub forma unei lucr</w:t>
      </w:r>
      <w:r>
        <w:rPr>
          <w:rFonts w:ascii="Arial Unicode MS" w:eastAsia="Arial Unicode MS" w:cs="Arial Unicode MS"/>
        </w:rPr>
        <w:t>ă</w:t>
      </w:r>
      <w:r>
        <w:rPr>
          <w:rFonts w:eastAsia="Arial Unicode MS" w:hAnsi="Arial Unicode MS" w:cs="Arial Unicode MS"/>
        </w:rPr>
        <w:t xml:space="preserve">ri practice. Proba 2 de prezentare </w:t>
      </w:r>
      <w:r>
        <w:rPr>
          <w:rFonts w:ascii="Arial Unicode MS" w:eastAsia="Arial Unicode MS" w:cs="Arial Unicode MS"/>
        </w:rPr>
        <w:t>ș</w:t>
      </w:r>
      <w:r>
        <w:rPr>
          <w:rFonts w:eastAsia="Arial Unicode MS" w:hAnsi="Arial Unicode MS" w:cs="Arial Unicode MS"/>
        </w:rPr>
        <w:t>i sus</w:t>
      </w:r>
      <w:r>
        <w:rPr>
          <w:rFonts w:ascii="Arial Unicode MS" w:eastAsia="Arial Unicode MS" w:cs="Arial Unicode MS"/>
        </w:rPr>
        <w:t>ț</w:t>
      </w:r>
      <w:r>
        <w:rPr>
          <w:rFonts w:eastAsia="Arial Unicode MS" w:hAnsi="Arial Unicode MS" w:cs="Arial Unicode MS"/>
        </w:rPr>
        <w:t>inere a lucr</w:t>
      </w:r>
      <w:r>
        <w:rPr>
          <w:rFonts w:ascii="Arial Unicode MS" w:eastAsia="Arial Unicode MS" w:cs="Arial Unicode MS"/>
        </w:rPr>
        <w:t>ă</w:t>
      </w:r>
      <w:r>
        <w:rPr>
          <w:rFonts w:eastAsia="Arial Unicode MS" w:hAnsi="Arial Unicode MS" w:cs="Arial Unicode MS"/>
        </w:rPr>
        <w:t>rii de licen</w:t>
      </w:r>
      <w:r>
        <w:rPr>
          <w:rFonts w:ascii="Arial Unicode MS" w:eastAsia="Arial Unicode MS" w:cs="Arial Unicode MS"/>
        </w:rPr>
        <w:t>ță</w:t>
      </w:r>
      <w:r>
        <w:rPr>
          <w:rFonts w:eastAsia="Arial Unicode MS" w:hAnsi="Arial Unicode MS" w:cs="Arial Unicode MS"/>
        </w:rPr>
        <w:t>/diserta</w:t>
      </w:r>
      <w:r>
        <w:rPr>
          <w:rFonts w:ascii="Arial Unicode MS" w:eastAsia="Arial Unicode MS" w:cs="Arial Unicode MS"/>
        </w:rPr>
        <w:t>ț</w:t>
      </w:r>
      <w:r>
        <w:rPr>
          <w:rFonts w:eastAsia="Arial Unicode MS" w:hAnsi="Arial Unicode MS" w:cs="Arial Unicode MS"/>
        </w:rPr>
        <w:t>ie este public</w:t>
      </w:r>
      <w:r>
        <w:rPr>
          <w:rFonts w:ascii="Arial Unicode MS" w:eastAsia="Arial Unicode MS" w:cs="Arial Unicode MS"/>
        </w:rPr>
        <w:t>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ș</w:t>
      </w:r>
      <w:r>
        <w:rPr>
          <w:rFonts w:eastAsia="Arial Unicode MS" w:hAnsi="Arial Unicode MS" w:cs="Arial Unicode MS"/>
        </w:rPr>
        <w:t>i se desf</w:t>
      </w:r>
      <w:r>
        <w:rPr>
          <w:rFonts w:ascii="Arial Unicode MS" w:eastAsia="Arial Unicode MS" w:cs="Arial Unicode MS"/>
        </w:rPr>
        <w:t>ăș</w:t>
      </w:r>
      <w:r>
        <w:rPr>
          <w:rFonts w:eastAsia="Arial Unicode MS" w:hAnsi="Arial Unicode MS" w:cs="Arial Unicode MS"/>
        </w:rPr>
        <w:t>oar</w:t>
      </w:r>
      <w:r>
        <w:rPr>
          <w:rFonts w:ascii="Arial Unicode MS" w:eastAsia="Arial Unicode MS" w:cs="Arial Unicode MS"/>
        </w:rPr>
        <w:t>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î</w:t>
      </w:r>
      <w:r>
        <w:rPr>
          <w:rFonts w:eastAsia="Arial Unicode MS" w:hAnsi="Arial Unicode MS" w:cs="Arial Unicode MS"/>
        </w:rPr>
        <w:t>n prezen</w:t>
      </w:r>
      <w:r>
        <w:rPr>
          <w:rFonts w:ascii="Arial Unicode MS" w:eastAsia="Arial Unicode MS" w:cs="Arial Unicode MS"/>
        </w:rPr>
        <w:t>ț</w:t>
      </w:r>
      <w:r>
        <w:rPr>
          <w:rFonts w:eastAsia="Arial Unicode MS" w:hAnsi="Arial Unicode MS" w:cs="Arial Unicode MS"/>
        </w:rPr>
        <w:t xml:space="preserve">a a comisiei </w:t>
      </w:r>
      <w:r>
        <w:rPr>
          <w:rFonts w:ascii="Arial Unicode MS" w:eastAsia="Arial Unicode MS" w:cs="Arial Unicode MS"/>
        </w:rPr>
        <w:t>ș</w:t>
      </w:r>
      <w:r>
        <w:rPr>
          <w:rFonts w:eastAsia="Arial Unicode MS" w:hAnsi="Arial Unicode MS" w:cs="Arial Unicode MS"/>
        </w:rPr>
        <w:t xml:space="preserve">i a examinatului. </w:t>
      </w:r>
    </w:p>
    <w:p w:rsidR="005944FF" w:rsidRDefault="00BA7CE5">
      <w:pPr>
        <w:pStyle w:val="Szvegtrzs"/>
        <w:spacing w:before="108" w:after="0" w:line="34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Fiecare absolvent se va legitima,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naintea unei probe de examen, cu carnetul de student sau cartea de identitate.</w:t>
      </w:r>
    </w:p>
    <w:p w:rsidR="005944FF" w:rsidRDefault="00BA7CE5">
      <w:pPr>
        <w:pStyle w:val="Szvegtrzs"/>
        <w:spacing w:before="108" w:after="0" w:line="34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3</w:t>
      </w:r>
    </w:p>
    <w:p w:rsidR="005944FF" w:rsidRDefault="00BA7CE5">
      <w:pPr>
        <w:pStyle w:val="Szvegtrzs"/>
        <w:spacing w:after="0" w:line="3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(1) Subiectele aferente Probei 1.1 a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vor fi formulate sub form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ntreb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ri din disciplinele Istoria artei, pe baza unor tematici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a unei bibliografii postate pe site-ul specializ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cu cel 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in 6 luni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nainte de data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Szvegtrzs"/>
        <w:tabs>
          <w:tab w:val="decimal" w:pos="1440"/>
        </w:tabs>
        <w:spacing w:before="180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 (2) Proba 1.1 se va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  <w:lang w:val="pt-PT"/>
        </w:rPr>
        <w:t xml:space="preserve">ura oral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fa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a comisiei de examen.</w:t>
      </w:r>
    </w:p>
    <w:p w:rsidR="005944FF" w:rsidRDefault="00BA7CE5">
      <w:pPr>
        <w:pStyle w:val="Szvegtrzs"/>
        <w:tabs>
          <w:tab w:val="decimal" w:pos="1440"/>
        </w:tabs>
        <w:spacing w:before="180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(3) Proba 1.2. va fi o prob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practic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a 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  <w:lang w:val="it-IT"/>
        </w:rPr>
        <w:t>rei tematic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 fi decis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 comisia de examen. Pentru realizarea 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practice 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 au la dispozi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ie 4 ore. </w:t>
      </w:r>
    </w:p>
    <w:p w:rsidR="005944FF" w:rsidRDefault="00BA7CE5">
      <w:pPr>
        <w:pStyle w:val="Szvegtrzs"/>
        <w:tabs>
          <w:tab w:val="decimal" w:pos="1440"/>
        </w:tabs>
        <w:spacing w:before="180" w:after="0" w:line="26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4</w:t>
      </w:r>
    </w:p>
    <w:p w:rsidR="005944FF" w:rsidRDefault="00BA7CE5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Prezentarea 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 sus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inerea 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de licen</w:t>
      </w:r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(proba 2) se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oar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dup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promovarea probei 1. </w:t>
      </w:r>
    </w:p>
    <w:p w:rsidR="005944FF" w:rsidRDefault="00BA7CE5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Fiec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rui absolvent i se vor aloca cel 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 10 minute pentru prezentarea 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de licen</w:t>
      </w:r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>/diserta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5 minute pentru a 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spunde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ntreb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rilor comisiei de examen. </w:t>
      </w:r>
    </w:p>
    <w:p w:rsidR="005944FF" w:rsidRDefault="00BA7CE5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Nota pentru lucrarea de licen</w:t>
      </w:r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>/diserta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 se acord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 comisia de examen, pe baza 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inerii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plenul comisiei.</w:t>
      </w:r>
    </w:p>
    <w:p w:rsidR="005944FF" w:rsidRDefault="00BA7CE5">
      <w:pPr>
        <w:pStyle w:val="Szvegtrzs"/>
        <w:spacing w:before="360" w:after="0" w:line="27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5</w:t>
      </w:r>
    </w:p>
    <w:p w:rsidR="005944FF" w:rsidRDefault="00BA7CE5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after="0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 de licen</w:t>
      </w:r>
      <w:r>
        <w:rPr>
          <w:rFonts w:hAnsi="Times New Roman"/>
          <w:sz w:val="24"/>
          <w:szCs w:val="24"/>
        </w:rPr>
        <w:t>ţă</w:t>
      </w:r>
      <w:r>
        <w:rPr>
          <w:rFonts w:ascii="Times New Roman"/>
          <w:sz w:val="24"/>
          <w:szCs w:val="24"/>
        </w:rPr>
        <w:t>/diserta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 trebuie s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respecte criteriile de form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de con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inut stabilite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ghidurile proprii ale programelor de studiu, aprobate la Consiliul Facult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ii..</w:t>
      </w:r>
    </w:p>
    <w:p w:rsidR="005944FF" w:rsidRDefault="00BA7CE5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after="0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Coordonatorii 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rilor de licen</w:t>
      </w:r>
      <w:r>
        <w:rPr>
          <w:rFonts w:hAnsi="Times New Roman"/>
          <w:sz w:val="24"/>
          <w:szCs w:val="24"/>
        </w:rPr>
        <w:t>ţă</w:t>
      </w:r>
      <w:r>
        <w:rPr>
          <w:rFonts w:ascii="Times New Roman"/>
          <w:sz w:val="24"/>
          <w:szCs w:val="24"/>
        </w:rPr>
        <w:t>/diserta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 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spund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solidar cu autorii acestora de asigurarea originalit</w:t>
      </w:r>
      <w:r>
        <w:rPr>
          <w:rFonts w:hAnsi="Times New Roman"/>
          <w:sz w:val="24"/>
          <w:szCs w:val="24"/>
        </w:rPr>
        <w:t>ăţ</w:t>
      </w:r>
      <w:r>
        <w:rPr>
          <w:rFonts w:ascii="Times New Roman"/>
          <w:sz w:val="24"/>
          <w:szCs w:val="24"/>
        </w:rPr>
        <w:t>ii con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inutului acestora.</w:t>
      </w:r>
    </w:p>
    <w:p w:rsidR="005944FF" w:rsidRDefault="00BA7CE5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Verificarea antiplagiat va fi realizat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 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tre biblioteca universitar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, la solicitarea absolventului.</w:t>
      </w:r>
    </w:p>
    <w:p w:rsidR="005944FF" w:rsidRDefault="00BA7CE5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Coeficientul de similaritate (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similarity index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) nu poate dep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i 20%, iar absolventul va anexa la lucrarea sa raportul de antiplagiat semnat de conduc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torul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ific al 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rii.</w:t>
      </w:r>
    </w:p>
    <w:p w:rsidR="005944FF" w:rsidRDefault="00BA7CE5">
      <w:pPr>
        <w:pStyle w:val="Szvegtrzs"/>
        <w:spacing w:before="360"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6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Media unei probe se calculeaz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ca medie aritmetic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notelor membrilor comisiei de examen.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 xml:space="preserve">n cazul probei 1, examenul teoretic (proba 1.1.)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cel practic (proba 1.2.) au aceea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 xml:space="preserve">i pondere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media final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Media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calculeaz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ca medie aritmetic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rezultatelor probelor de examen. 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Media unei probe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media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determin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cu dou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zecimale, f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rotunjire.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Notele membrilor comisiei de examen, la proba 2, sunt note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ntregi de la 1 la 10.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Examenul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consider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promovat dac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probele componente sunt promovate, iar media examenului este de cel 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 6,00. O prob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consider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promovat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, dac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media probei este cel 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 5,00.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Examenul de 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 se consider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promovat dac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media probei,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implicit a examenului este de cel 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in 6,00. </w:t>
      </w:r>
    </w:p>
    <w:p w:rsidR="005944FF" w:rsidRDefault="00BA7CE5">
      <w:pPr>
        <w:pStyle w:val="Szvegtrzs"/>
        <w:spacing w:before="360"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7</w:t>
      </w:r>
    </w:p>
    <w:p w:rsidR="005944FF" w:rsidRDefault="00BA7CE5">
      <w:pPr>
        <w:pStyle w:val="Szvegtrzs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Reglement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 aplicabile pentru scenariul online sunt prev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zute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 xml:space="preserve">n </w:t>
      </w:r>
      <w:r>
        <w:rPr>
          <w:rFonts w:ascii="Times New Roman"/>
          <w:b/>
          <w:bCs/>
          <w:sz w:val="24"/>
          <w:szCs w:val="24"/>
        </w:rPr>
        <w:t>Anexa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nr. 1.</w:t>
      </w:r>
    </w:p>
    <w:p w:rsidR="005944FF" w:rsidRDefault="005944FF">
      <w:pPr>
        <w:pStyle w:val="Szvegtrzs"/>
        <w:spacing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Prevederile prezentei Metodologii se aplic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Departamentul de Arte, Facultatea de Literatur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 xml:space="preserve">i Arte,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ncep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 xml:space="preserve">nd cu anul universitar 2023-2024,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 xml:space="preserve">i sunt aplicabile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absolven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 care nu au 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inut sau nu au promovat examenul de promovare a studiilor p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 intrarea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 xml:space="preserve">n vigoare a acestei metodologii. </w:t>
      </w: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F758E8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07.12</w:t>
      </w:r>
      <w:r w:rsidR="00BA7CE5">
        <w:rPr>
          <w:rFonts w:ascii="Times New Roman"/>
          <w:sz w:val="24"/>
          <w:szCs w:val="24"/>
        </w:rPr>
        <w:t>.2023.</w:t>
      </w:r>
    </w:p>
    <w:p w:rsidR="005944FF" w:rsidRDefault="00BA7CE5">
      <w:pPr>
        <w:pStyle w:val="Szvegtrzs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Director departament,</w:t>
      </w:r>
    </w:p>
    <w:p w:rsidR="005944FF" w:rsidRDefault="00BA7CE5">
      <w:pPr>
        <w:pStyle w:val="Szvegtrzs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Dr. Bal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zs Zolt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</w:p>
    <w:p w:rsidR="005944FF" w:rsidRDefault="005944FF">
      <w:pPr>
        <w:pStyle w:val="Szvegtrzs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Decan,</w:t>
      </w:r>
    </w:p>
    <w:p w:rsidR="005944FF" w:rsidRDefault="00BA7CE5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Dr. B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  <w:lang w:val="es-ES_tradnl"/>
        </w:rPr>
        <w:t>s Borb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la</w:t>
      </w:r>
    </w:p>
    <w:p w:rsidR="005944FF" w:rsidRDefault="005944FF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ANEXA 1</w:t>
      </w: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REGLEMENT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 ABLICABILE SCENARIULUI ONLINE</w:t>
      </w: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1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cazul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rii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regim on-line a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prevederile organizatorice din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prezenta Anex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vor completa, sau vor prevala dup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caz fa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cele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cauz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ale Metodologiei.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2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(1) Toate probele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vor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 online, prin intermediul platformei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Google Meet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prezen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a online a comisiei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a 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(2) Toate informa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 necesare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rii examenului de finalizare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regim online vor fi puse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 dispozi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  <w:lang w:val="it-IT"/>
        </w:rPr>
        <w:t>ia 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 dup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 xml:space="preserve">ncheierea perioadei de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nscriere, dar cel t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 xml:space="preserve">rziu cu 48 de ore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nainte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>de 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(3) 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inerea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varianta online a probelor examenului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nregistreaz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integral pentru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fiecare absolvent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 xml:space="preserve">n parte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se arhiveaz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nivel de facultate, cu respectarea prevederilor GDPR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vigoare.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(4) Consim</w:t>
      </w:r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ntul 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ilor cu privire la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 xml:space="preserve">nregistrarea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arhivarea examenului de licen</w:t>
      </w:r>
      <w:r>
        <w:rPr>
          <w:rFonts w:hAnsi="Times New Roman"/>
          <w:sz w:val="24"/>
          <w:szCs w:val="24"/>
        </w:rPr>
        <w:t>ță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reprezint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condi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  <w:lang w:val="pt-PT"/>
        </w:rPr>
        <w:t xml:space="preserve">ia de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nscriere la examen.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3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situa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ia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care un candidat nu poate accesa, din diverse motive, platforma pe care se 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examenele sau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  <w:lang w:val="it-IT"/>
        </w:rPr>
        <w:t>mpin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probleme tehnice legate de conexiunea la Internet, comisia de evaluare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poate decide asupra reprogram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rii studentului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>n condi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 respect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prevederilor legate de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urarea examenului (perioad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, comisie etc.).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(2) Dac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oportunit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 xml:space="preserve">ile la domiciliu ale unui absolvent nu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i permit s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efectueze examenul de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finalizare online a studiilor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>n condi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 adecvate, acesta poate solicita ca facultatea s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-i ofere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condi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 tehnice la sediul facult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 pe baza unei evalu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  <w:lang w:val="it-IT"/>
        </w:rPr>
        <w:t>ri individuale.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4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Pe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ntreg parcursul evalu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cuno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elor fundamentale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 xml:space="preserve">i de specialitate, inclusiv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intervalul acordat pentru 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tirea 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spunsului, 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 le este interzis: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a) 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sirea 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mpului vizual al examinatorilor;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consultarea cu alte persoane aflate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aceea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 xml:space="preserve">i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pere sau la distan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 acesta;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c) oprirea microfonului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i/sau a camerei.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(2) Dac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 parcursul 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tirii 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spunsului subprobei 1.1.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 xml:space="preserve">i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timpul 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spunsului conexiunea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audio-vizual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 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ilor se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 xml:space="preserve">ntrerupe pe un interval de timp mai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ndelungat, pre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edintele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comisiei poate dispune alegerea aleatorie a unui nou subiect.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(3) 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 care recurg la fraud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sau tentativ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>de fraud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dovedit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vor fi elimina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 din examen.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5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Evaluarea cuno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elor fundamentale se va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  <w:lang w:val="it-IT"/>
        </w:rPr>
        <w:t xml:space="preserve">ura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felul urm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tor: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a) subiectele de examen vor fi trase la sor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 prin intermediul platformei random.org astfel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t s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poat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constata vizual caracterul aleatoriu al alegerii (pe ecran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mp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rt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it);</w:t>
      </w: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b) intervalul de timp acordat 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 pentru 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tirea 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spunsului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 este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identic cu cel a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normale;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c) pe parcursul examenului se vor afla simultan 2 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 pe platform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6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(1) Pentru proba practic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(1.2.)  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 vor rezolva sarcina trasat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astfel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t s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afle permanent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conexiune audio/vizual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cu membrii comisiei pe platforma Google Meet. Lucrarea finalizat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de-DE"/>
        </w:rPr>
        <w:t xml:space="preserve">o vor digitaliza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 xml:space="preserve">i o vor trimite in momentul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 xml:space="preserve">ncheierii probei prin email comisiei de examen. 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7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Prezentarea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inerea 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de licen</w:t>
      </w:r>
      <w:r>
        <w:rPr>
          <w:rFonts w:hAnsi="Times New Roman"/>
          <w:sz w:val="24"/>
          <w:szCs w:val="24"/>
        </w:rPr>
        <w:t>ță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se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oar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aceea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sesiune cu evaluarea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cuno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elor fundamentale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 de specialitate (proba 1.1.).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situa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ia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 care 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 au 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tit materiale ilustrative (tip PowerPoint), acestea vor fi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prezentate pe ecran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mp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rt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it.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(3) Intervalul de timp acordat 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ilor pentru prezentare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spunsul la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ntreb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 comisiei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este identic cu cel a 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 normale.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8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(1) Comisia de examen va func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iona online pe platforma Google Meet.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(2) Documentele de examinare vor fi completate electronic de 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tre membrii comisiei semnate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transmise electronic secretarului comisiei.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Secretarul va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ntocmi rezultatele, calculeaz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mediile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tip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te procesele-verbale,</w:t>
      </w:r>
    </w:p>
    <w:p w:rsidR="005944FF" w:rsidRDefault="005944F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ind w:left="360"/>
      </w:pPr>
    </w:p>
    <w:sectPr w:rsidR="005944FF">
      <w:headerReference w:type="default" r:id="rId8"/>
      <w:footerReference w:type="default" r:id="rId9"/>
      <w:pgSz w:w="11900" w:h="16840"/>
      <w:pgMar w:top="1417" w:right="1274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57" w:rsidRDefault="00872557">
      <w:r>
        <w:separator/>
      </w:r>
    </w:p>
  </w:endnote>
  <w:endnote w:type="continuationSeparator" w:id="0">
    <w:p w:rsidR="00872557" w:rsidRDefault="0087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FF" w:rsidRDefault="005944FF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57" w:rsidRDefault="00872557">
      <w:r>
        <w:separator/>
      </w:r>
    </w:p>
  </w:footnote>
  <w:footnote w:type="continuationSeparator" w:id="0">
    <w:p w:rsidR="00872557" w:rsidRDefault="0087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FF" w:rsidRDefault="00BA7CE5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810259</wp:posOffset>
              </wp:positionH>
              <wp:positionV relativeFrom="page">
                <wp:posOffset>449580</wp:posOffset>
              </wp:positionV>
              <wp:extent cx="625856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85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856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1"/>
                            <w:gridCol w:w="9635"/>
                          </w:tblGrid>
                          <w:tr w:rsidR="005944FF">
                            <w:trPr>
                              <w:trHeight w:val="2105"/>
                            </w:trPr>
                            <w:tc>
                              <w:tcPr>
                                <w:tcW w:w="2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5944FF" w:rsidRDefault="005944FF"/>
                            </w:tc>
                            <w:tc>
                              <w:tcPr>
                                <w:tcW w:w="96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5944FF" w:rsidRDefault="00BA7CE5">
                                <w:pPr>
                                  <w:pStyle w:val="Head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762116" cy="1467486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762116" cy="14674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A55AA" w:rsidRDefault="007A55AA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63.8pt;margin-top:35.4pt;width:492.8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" filled="f" stroked="f">
              <v:textbox style="mso-fit-shape-to-text:t" inset="0,0,0,0">
                <w:txbxContent>
                  <w:tbl>
                    <w:tblPr>
                      <w:tblW w:w="9856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21"/>
                      <w:gridCol w:w="9635"/>
                    </w:tblGrid>
                    <w:tr w:rsidR="005944FF">
                      <w:trPr>
                        <w:trHeight w:val="2105"/>
                      </w:trPr>
                      <w:tc>
                        <w:tcPr>
                          <w:tcW w:w="2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5944FF" w:rsidRDefault="005944FF"/>
                      </w:tc>
                      <w:tc>
                        <w:tcPr>
                          <w:tcW w:w="96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5944FF" w:rsidRDefault="00BA7CE5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116" cy="1467486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116" cy="1467486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A55AA" w:rsidRDefault="007A55AA"/>
                </w:txbxContent>
              </v:textbox>
              <w10:wrap anchorx="page" anchory="page"/>
            </v:rect>
          </w:pict>
        </mc:Fallback>
      </mc:AlternateContent>
    </w: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506C"/>
    <w:multiLevelType w:val="multilevel"/>
    <w:tmpl w:val="28DE572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">
    <w:nsid w:val="24C262F3"/>
    <w:multiLevelType w:val="multilevel"/>
    <w:tmpl w:val="7AAED680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C1016D0"/>
    <w:multiLevelType w:val="multilevel"/>
    <w:tmpl w:val="B90A5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3">
    <w:nsid w:val="31F70E13"/>
    <w:multiLevelType w:val="multilevel"/>
    <w:tmpl w:val="20026BEA"/>
    <w:styleLink w:val="List1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4">
    <w:nsid w:val="41034D03"/>
    <w:multiLevelType w:val="multilevel"/>
    <w:tmpl w:val="3CFC18A4"/>
    <w:styleLink w:val="List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5">
    <w:nsid w:val="52DD38F1"/>
    <w:multiLevelType w:val="multilevel"/>
    <w:tmpl w:val="75469F00"/>
    <w:styleLink w:val="List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6">
    <w:nsid w:val="53DC5BDF"/>
    <w:multiLevelType w:val="multilevel"/>
    <w:tmpl w:val="ADCC1B1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7">
    <w:nsid w:val="635B5E4C"/>
    <w:multiLevelType w:val="multilevel"/>
    <w:tmpl w:val="AE2EA33A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797C5638"/>
    <w:multiLevelType w:val="multilevel"/>
    <w:tmpl w:val="DF64AEF6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4FF"/>
    <w:rsid w:val="001E3DF2"/>
    <w:rsid w:val="005944FF"/>
    <w:rsid w:val="007A55AA"/>
    <w:rsid w:val="00872557"/>
    <w:rsid w:val="00BA7CE5"/>
    <w:rsid w:val="00CC7B27"/>
    <w:rsid w:val="00D963AD"/>
    <w:rsid w:val="00F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6"/>
      </w:numPr>
    </w:pPr>
  </w:style>
  <w:style w:type="numbering" w:customStyle="1" w:styleId="Importlt2stlus">
    <w:name w:val="Importált 2 stílus"/>
  </w:style>
  <w:style w:type="numbering" w:customStyle="1" w:styleId="List21">
    <w:name w:val="List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CC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6"/>
      </w:numPr>
    </w:pPr>
  </w:style>
  <w:style w:type="numbering" w:customStyle="1" w:styleId="Importlt2stlus">
    <w:name w:val="Importált 2 stílus"/>
  </w:style>
  <w:style w:type="numbering" w:customStyle="1" w:styleId="List21">
    <w:name w:val="List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CC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Practimuss</cp:lastModifiedBy>
  <cp:revision>2</cp:revision>
  <dcterms:created xsi:type="dcterms:W3CDTF">2024-02-14T14:49:00Z</dcterms:created>
  <dcterms:modified xsi:type="dcterms:W3CDTF">2024-02-14T14:49:00Z</dcterms:modified>
</cp:coreProperties>
</file>